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3E10" w14:textId="77777777" w:rsidR="00BE7D6A" w:rsidRPr="00BE7D6A" w:rsidRDefault="00BE7D6A" w:rsidP="00BE7D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val="ro-RO"/>
        </w:rPr>
      </w:pPr>
      <w:r w:rsidRPr="00BE7D6A">
        <w:rPr>
          <w:rFonts w:ascii="Times New Roman" w:eastAsia="Times New Roman" w:hAnsi="Times New Roman" w:cs="Times New Roman"/>
          <w:b/>
          <w:i/>
          <w:lang w:val="ro-RO"/>
        </w:rPr>
        <w:t>Anunț Preselecție ,,Hexagonul Facultăților de Drept”</w:t>
      </w:r>
    </w:p>
    <w:p w14:paraId="7460B59D" w14:textId="77777777" w:rsidR="00BE7D6A" w:rsidRPr="00BE7D6A" w:rsidRDefault="00BE7D6A" w:rsidP="00BE7D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val="fr-FR"/>
        </w:rPr>
      </w:pPr>
      <w:r w:rsidRPr="00BE7D6A">
        <w:rPr>
          <w:rFonts w:ascii="Times New Roman" w:eastAsia="Times New Roman" w:hAnsi="Times New Roman" w:cs="Times New Roman"/>
          <w:b/>
          <w:i/>
          <w:lang w:val="ro-RO"/>
        </w:rPr>
        <w:t xml:space="preserve"> – Proba de Drept Constituțional</w:t>
      </w:r>
      <w:r w:rsidRPr="00BE7D6A">
        <w:rPr>
          <w:rFonts w:ascii="Times New Roman" w:eastAsia="Times New Roman" w:hAnsi="Times New Roman" w:cs="Times New Roman"/>
          <w:b/>
          <w:i/>
          <w:lang w:val="fr-FR"/>
        </w:rPr>
        <w:t xml:space="preserve"> – 2022  </w:t>
      </w:r>
    </w:p>
    <w:p w14:paraId="3D244504" w14:textId="77777777" w:rsidR="00BE7D6A" w:rsidRPr="00BE7D6A" w:rsidRDefault="00BE7D6A" w:rsidP="00BE7D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lang w:val="fr-FR"/>
        </w:rPr>
      </w:pPr>
    </w:p>
    <w:p w14:paraId="33788365" w14:textId="69BF3570" w:rsidR="00BE7D6A" w:rsidRPr="00BE7D6A" w:rsidRDefault="00BE7D6A" w:rsidP="00BE7D6A">
      <w:pPr>
        <w:spacing w:after="200" w:line="276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BE7D6A">
        <w:rPr>
          <w:rFonts w:ascii="Times New Roman" w:eastAsia="Times New Roman" w:hAnsi="Times New Roman" w:cs="Times New Roman"/>
          <w:lang w:val="fr-FR"/>
        </w:rPr>
        <w:t xml:space="preserve">În data de </w:t>
      </w:r>
      <w:r w:rsidRPr="00BE7D6A">
        <w:rPr>
          <w:rFonts w:ascii="Times New Roman" w:eastAsia="Times New Roman" w:hAnsi="Times New Roman" w:cs="Times New Roman"/>
          <w:b/>
          <w:lang w:val="fr-FR"/>
        </w:rPr>
        <w:t>1</w:t>
      </w:r>
      <w:r>
        <w:rPr>
          <w:rFonts w:ascii="Times New Roman" w:eastAsia="Times New Roman" w:hAnsi="Times New Roman" w:cs="Times New Roman"/>
          <w:b/>
          <w:lang w:val="fr-FR"/>
        </w:rPr>
        <w:t>6</w:t>
      </w:r>
      <w:r w:rsidRPr="00BE7D6A">
        <w:rPr>
          <w:rFonts w:ascii="Times New Roman" w:eastAsia="Times New Roman" w:hAnsi="Times New Roman" w:cs="Times New Roman"/>
          <w:b/>
          <w:lang w:val="fr-FR"/>
        </w:rPr>
        <w:t xml:space="preserve"> decembrie 202</w:t>
      </w:r>
      <w:r>
        <w:rPr>
          <w:rFonts w:ascii="Times New Roman" w:eastAsia="Times New Roman" w:hAnsi="Times New Roman" w:cs="Times New Roman"/>
          <w:b/>
          <w:lang w:val="fr-FR"/>
        </w:rPr>
        <w:t>2</w:t>
      </w:r>
      <w:r w:rsidRPr="00BE7D6A">
        <w:rPr>
          <w:rFonts w:ascii="Times New Roman" w:eastAsia="Times New Roman" w:hAnsi="Times New Roman" w:cs="Times New Roman"/>
          <w:b/>
          <w:lang w:val="fr-FR"/>
        </w:rPr>
        <w:t>, vineri, de la ora 16.00, sala P6</w:t>
      </w:r>
      <w:r w:rsidRPr="00BE7D6A">
        <w:rPr>
          <w:rFonts w:ascii="Times New Roman" w:eastAsia="Times New Roman" w:hAnsi="Times New Roman" w:cs="Times New Roman"/>
          <w:lang w:val="fr-FR"/>
        </w:rPr>
        <w:t xml:space="preserve"> va avea loc preselecția pentru Proba de Drept Constituțional din cadrul Hexagonului Facultăților de Drept - ediția 2022. Proba va consta în rezolvarea unor subiecte </w:t>
      </w:r>
      <w:r>
        <w:rPr>
          <w:rFonts w:ascii="Times New Roman" w:eastAsia="Times New Roman" w:hAnsi="Times New Roman" w:cs="Times New Roman"/>
          <w:lang w:val="fr-FR"/>
        </w:rPr>
        <w:t xml:space="preserve">teoretice și spețe de drept constituțional. </w:t>
      </w:r>
    </w:p>
    <w:p w14:paraId="31558479" w14:textId="77777777" w:rsidR="00BE7D6A" w:rsidRPr="00BE7D6A" w:rsidRDefault="00BE7D6A" w:rsidP="00BE7D6A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E7D6A">
        <w:rPr>
          <w:rFonts w:ascii="Times New Roman" w:eastAsia="Times New Roman" w:hAnsi="Times New Roman" w:cs="Times New Roman"/>
          <w:u w:val="single"/>
          <w:lang w:val="fr-FR"/>
        </w:rPr>
        <w:t>Anunțul se adresează studenților din anii II, III și IV</w:t>
      </w:r>
      <w:r w:rsidRPr="00BE7D6A">
        <w:rPr>
          <w:rFonts w:ascii="Times New Roman" w:eastAsia="Times New Roman" w:hAnsi="Times New Roman" w:cs="Times New Roman"/>
          <w:lang w:val="fr-FR"/>
        </w:rPr>
        <w:t xml:space="preserve">. </w:t>
      </w:r>
      <w:r w:rsidRPr="00BE7D6A">
        <w:rPr>
          <w:rFonts w:ascii="Times New Roman" w:eastAsia="Times New Roman" w:hAnsi="Times New Roman" w:cs="Times New Roman"/>
        </w:rPr>
        <w:t>Tematica pentru proba de drept constituțional este următoarea:</w:t>
      </w:r>
    </w:p>
    <w:p w14:paraId="38C7D413" w14:textId="42736A03" w:rsidR="00BE7D6A" w:rsidRPr="00BE7D6A" w:rsidRDefault="00BE7D6A" w:rsidP="00BE7D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u w:val="single"/>
        </w:rPr>
      </w:pPr>
      <w:r w:rsidRPr="00BE7D6A">
        <w:rPr>
          <w:rFonts w:ascii="Times New Roman" w:eastAsia="Times New Roman" w:hAnsi="Times New Roman" w:cs="Times New Roman"/>
          <w:b/>
          <w:bCs/>
          <w:i/>
          <w:iCs/>
          <w:spacing w:val="1"/>
          <w:u w:val="single"/>
        </w:rPr>
        <w:t>Tematică</w:t>
      </w:r>
    </w:p>
    <w:p w14:paraId="60B6BCDF" w14:textId="77777777" w:rsidR="00BE7D6A" w:rsidRPr="00BE7D6A" w:rsidRDefault="00BE7D6A" w:rsidP="00BE7D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</w:rPr>
      </w:pPr>
    </w:p>
    <w:p w14:paraId="416DCCDB" w14:textId="77777777" w:rsidR="00BE7D6A" w:rsidRPr="00BE7D6A" w:rsidRDefault="00BE7D6A" w:rsidP="00BE7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</w:pPr>
      <w:r w:rsidRPr="00BE7D6A"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  <w:t>Principii fundamentale: principiul separației puterilor în stat, principiul loialității constituționale, statul de drept;</w:t>
      </w:r>
    </w:p>
    <w:p w14:paraId="2C58B378" w14:textId="77777777" w:rsidR="00BE7D6A" w:rsidRPr="00BE7D6A" w:rsidRDefault="00BE7D6A" w:rsidP="00BE7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</w:pPr>
      <w:r w:rsidRPr="00BE7D6A"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  <w:t>Puterea legislativă: Parlamentul – rolul și structura Parlamentului; mandatul, organizarea și funcționarea Parlamentului: alegerea Camerelor și durata mandatului, organizarea internă, desfășurarea lucrărilor, actele juridice; statutul parlamentarului: mandatul parlamentar și protecția mandatului parlamentar;</w:t>
      </w:r>
    </w:p>
    <w:p w14:paraId="61E9C820" w14:textId="77777777" w:rsidR="00BE7D6A" w:rsidRPr="00BE7D6A" w:rsidRDefault="00BE7D6A" w:rsidP="00BE7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</w:pPr>
      <w:r w:rsidRPr="00BE7D6A"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  <w:t>Puterea executivă: Președintele – rolul și atribuțiile Președintelui; mandatul prezidențial: alegerea Președintelui, validarea mandatului, durata mandatului, vacanța și interimatul funcției, protecția mandatului prezidențial, răspunderea Președintelui, actele Președintelui;</w:t>
      </w:r>
    </w:p>
    <w:p w14:paraId="60AF630B" w14:textId="77777777" w:rsidR="00BE7D6A" w:rsidRPr="00BE7D6A" w:rsidRDefault="00BE7D6A" w:rsidP="00BE7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</w:pPr>
      <w:r w:rsidRPr="00BE7D6A"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  <w:t>Puterea executivă: Guvernul – rolul și atribuțiile Guvernului; formarea Guvernului; structura Guvernului și statutul membrilor săi; atribuțiile Guvernului; funcționarea și actele juridice ale Guvernului;</w:t>
      </w:r>
    </w:p>
    <w:p w14:paraId="43777AA8" w14:textId="77777777" w:rsidR="00BE7D6A" w:rsidRPr="00BE7D6A" w:rsidRDefault="00BE7D6A" w:rsidP="00BE7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</w:pPr>
      <w:r w:rsidRPr="00BE7D6A"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  <w:t>Autoritatea judecătorească: instanțele judecătorești; Ministerul Public; Consiliul Superior al Magistraturii;</w:t>
      </w:r>
    </w:p>
    <w:p w14:paraId="59A95AD1" w14:textId="77777777" w:rsidR="00BE7D6A" w:rsidRPr="00BE7D6A" w:rsidRDefault="00BE7D6A" w:rsidP="00BE7D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</w:pPr>
      <w:r w:rsidRPr="00BE7D6A">
        <w:rPr>
          <w:rFonts w:ascii="Times New Roman" w:eastAsia="Times New Roman" w:hAnsi="Times New Roman" w:cs="Times New Roman"/>
          <w:color w:val="000000"/>
          <w:u w:color="000000"/>
          <w:bdr w:val="nil"/>
          <w:lang/>
          <w14:textOutline w14:w="0" w14:cap="flat" w14:cmpd="sng" w14:algn="ctr">
            <w14:noFill/>
            <w14:prstDash w14:val="solid"/>
            <w14:bevel/>
          </w14:textOutline>
        </w:rPr>
        <w:t>Justiția constituțională: noțiunea de justiție constituțională; Curtea Constituțională – organizare și funcționare; atribuțiile; actele juridice; procesul constituțional. Deciziile CCR, efectele deciziilor CCR.</w:t>
      </w:r>
    </w:p>
    <w:p w14:paraId="31C492AD" w14:textId="77777777" w:rsidR="00BE7D6A" w:rsidRPr="00BE7D6A" w:rsidRDefault="00BE7D6A" w:rsidP="00BE7D6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 w:cs="Times New Roman"/>
        </w:rPr>
      </w:pPr>
    </w:p>
    <w:p w14:paraId="58B97904" w14:textId="26BBB562" w:rsidR="00BE7D6A" w:rsidRPr="00BE7D6A" w:rsidRDefault="00BE7D6A" w:rsidP="00BE7D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u w:val="single"/>
        </w:rPr>
      </w:pPr>
      <w:r w:rsidRPr="00BE7D6A">
        <w:rPr>
          <w:rFonts w:ascii="Times New Roman" w:eastAsia="Times New Roman" w:hAnsi="Times New Roman" w:cs="Times New Roman"/>
          <w:b/>
          <w:bCs/>
          <w:i/>
          <w:iCs/>
          <w:spacing w:val="1"/>
          <w:u w:val="single"/>
        </w:rPr>
        <w:t>Bibliografie</w:t>
      </w:r>
    </w:p>
    <w:p w14:paraId="5E6478DA" w14:textId="77777777" w:rsidR="00BE7D6A" w:rsidRPr="00BE7D6A" w:rsidRDefault="00BE7D6A" w:rsidP="00BE7D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</w:rPr>
      </w:pPr>
    </w:p>
    <w:p w14:paraId="046FA48A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Constituția României din 1991, revizuită în 2003; </w:t>
      </w:r>
    </w:p>
    <w:p w14:paraId="4A07E8A5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I. Muraru, E. S. Tănăsescu,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>Drept constituțional și instituții politice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,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 xml:space="preserve"> 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vol. I ediția a 15-a, 2016, și vol. II, ediția a 15-a, 2017, C.H. Beck, București;</w:t>
      </w:r>
    </w:p>
    <w:p w14:paraId="2C74E9B8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I. Deleanu,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>Instituții și proceduri constituționale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, C.H. Beck, București, 2006; </w:t>
      </w:r>
    </w:p>
    <w:p w14:paraId="1C370147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lastRenderedPageBreak/>
        <w:t xml:space="preserve">D.C. Dănișor,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 xml:space="preserve">Drept constituțional și instituții politice, 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vol. I,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 xml:space="preserve"> Teoria generală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, C.H. Beck, București, 2007;</w:t>
      </w:r>
    </w:p>
    <w:p w14:paraId="0538B493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M.N. Bălan,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>Drept constituțional și instituții politice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, vol. I, Hamangiu, București, 2015;</w:t>
      </w:r>
    </w:p>
    <w:p w14:paraId="6B740C38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T. Toader, M. Safta,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 xml:space="preserve">Constituția României, decizii CCR, hotărâri CEDO, hotărâri CJUE, legislație conexă, 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ediția a 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 w:val="ro-RO"/>
        </w:rPr>
        <w:t>4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-a, Hamangiu, București, 20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 w:val="ro-RO"/>
        </w:rPr>
        <w:t>21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;</w:t>
      </w:r>
    </w:p>
    <w:p w14:paraId="5E05AF9C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B. Selejan-Guțan,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 xml:space="preserve">Drept constituțional și instituții politice, 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ediția a 3-a,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 xml:space="preserve"> 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>vol. I, 2015, vol. II, 2016, Hamangiu, București;</w:t>
      </w:r>
    </w:p>
    <w:p w14:paraId="1B2EE9D6" w14:textId="77777777" w:rsidR="00BE7D6A" w:rsidRPr="00BE7D6A" w:rsidRDefault="00BE7D6A" w:rsidP="00BE7D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line="276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/>
        </w:rPr>
      </w:pP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M. Criste, </w:t>
      </w:r>
      <w:r w:rsidRPr="00BE7D6A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/>
        </w:rPr>
        <w:t>Dreptul constituțional – Un drept al statului,</w:t>
      </w:r>
      <w:r w:rsidRPr="00BE7D6A">
        <w:rPr>
          <w:rFonts w:ascii="Times New Roman" w:eastAsia="Arial Unicode MS" w:hAnsi="Times New Roman" w:cs="Arial Unicode MS"/>
          <w:color w:val="000000"/>
          <w:spacing w:val="1"/>
          <w:u w:color="000000"/>
          <w:bdr w:val="nil"/>
          <w:lang/>
        </w:rPr>
        <w:t xml:space="preserve"> Universul Juridic, București, 2017.</w:t>
      </w:r>
    </w:p>
    <w:p w14:paraId="1AD72226" w14:textId="77777777" w:rsidR="00BE7D6A" w:rsidRPr="00BE7D6A" w:rsidRDefault="00BE7D6A" w:rsidP="00BE7D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</w:rPr>
      </w:pPr>
    </w:p>
    <w:p w14:paraId="4A45B95C" w14:textId="77777777" w:rsidR="00BE7D6A" w:rsidRPr="00BE7D6A" w:rsidRDefault="00BE7D6A" w:rsidP="00BE7D6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val="fr-FR"/>
        </w:rPr>
      </w:pPr>
      <w:r w:rsidRPr="00BE7D6A">
        <w:rPr>
          <w:rFonts w:ascii="Times New Roman" w:eastAsia="Times New Roman" w:hAnsi="Times New Roman" w:cs="Times New Roman"/>
          <w:color w:val="000000"/>
          <w:lang w:val="fr-FR"/>
        </w:rPr>
        <w:t xml:space="preserve">Lista bibliografică este exemplificativă. Pot fi consultate și alte cărți de drept constituțional în cadrul pregătirii pentru preselecție.  </w:t>
      </w:r>
    </w:p>
    <w:p w14:paraId="6FE4E90B" w14:textId="2F00A6A6" w:rsidR="00BE7D6A" w:rsidRPr="00BE7D6A" w:rsidRDefault="00BE7D6A" w:rsidP="00BE7D6A">
      <w:pPr>
        <w:spacing w:after="200"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Acte normative</w:t>
      </w:r>
      <w:r w:rsidRPr="00BE7D6A">
        <w:rPr>
          <w:rFonts w:ascii="Times New Roman" w:eastAsia="Times New Roman" w:hAnsi="Times New Roman" w:cs="Times New Roman"/>
          <w:b/>
          <w:i/>
          <w:u w:val="single"/>
        </w:rPr>
        <w:t xml:space="preserve"> relevante</w:t>
      </w:r>
      <w:r w:rsidRPr="00BE7D6A">
        <w:rPr>
          <w:rFonts w:ascii="Times New Roman" w:eastAsia="Times New Roman" w:hAnsi="Times New Roman" w:cs="Times New Roman"/>
          <w:b/>
          <w:i/>
        </w:rPr>
        <w:t xml:space="preserve">: </w:t>
      </w:r>
      <w:r w:rsidRPr="00BE7D6A">
        <w:rPr>
          <w:rFonts w:ascii="Times New Roman" w:eastAsia="Times New Roman" w:hAnsi="Times New Roman" w:cs="Times New Roman"/>
          <w:i/>
        </w:rPr>
        <w:t xml:space="preserve">Regulamentele Camerelor Parlamentului, Legea nr. 96/2006, </w:t>
      </w:r>
      <w:r>
        <w:rPr>
          <w:rFonts w:ascii="Times New Roman" w:eastAsia="Times New Roman" w:hAnsi="Times New Roman" w:cs="Times New Roman"/>
          <w:i/>
        </w:rPr>
        <w:t>Codul administrativ</w:t>
      </w:r>
      <w:r w:rsidRPr="00BE7D6A">
        <w:rPr>
          <w:rFonts w:ascii="Times New Roman" w:eastAsia="Times New Roman" w:hAnsi="Times New Roman" w:cs="Times New Roman"/>
          <w:i/>
        </w:rPr>
        <w:t xml:space="preserve">, Legea nr. 303/2004, Legea nr. 47/1992. </w:t>
      </w:r>
    </w:p>
    <w:p w14:paraId="3BCD370B" w14:textId="2A72EC37" w:rsidR="00BE7D6A" w:rsidRPr="00BE7D6A" w:rsidRDefault="00BE7D6A" w:rsidP="00BE7D6A">
      <w:pPr>
        <w:spacing w:after="200" w:line="276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BE7D6A">
        <w:rPr>
          <w:rFonts w:ascii="Times New Roman" w:eastAsia="Times New Roman" w:hAnsi="Times New Roman" w:cs="Times New Roman"/>
          <w:lang w:val="fr-FR"/>
        </w:rPr>
        <w:t>Informații suplimentare pot fi obținute de la asist.univ.dr</w:t>
      </w:r>
      <w:r>
        <w:rPr>
          <w:rFonts w:ascii="Times New Roman" w:eastAsia="Times New Roman" w:hAnsi="Times New Roman" w:cs="Times New Roman"/>
          <w:lang w:val="fr-FR"/>
        </w:rPr>
        <w:t>.</w:t>
      </w:r>
      <w:r w:rsidRPr="00BE7D6A">
        <w:rPr>
          <w:rFonts w:ascii="Times New Roman" w:eastAsia="Times New Roman" w:hAnsi="Times New Roman" w:cs="Times New Roman"/>
          <w:lang w:val="fr-FR"/>
        </w:rPr>
        <w:t xml:space="preserve"> Cristina Tomuleț </w:t>
      </w:r>
      <w:r>
        <w:rPr>
          <w:rFonts w:ascii="Times New Roman" w:eastAsia="Times New Roman" w:hAnsi="Times New Roman" w:cs="Times New Roman"/>
          <w:lang w:val="fr-FR"/>
        </w:rPr>
        <w:t>(</w:t>
      </w:r>
      <w:hyperlink r:id="rId5" w:history="1">
        <w:r w:rsidRPr="004A7A98">
          <w:rPr>
            <w:rStyle w:val="Hyperlink"/>
            <w:rFonts w:ascii="Times New Roman" w:eastAsia="Times New Roman" w:hAnsi="Times New Roman" w:cs="Times New Roman"/>
            <w:lang w:val="fr-FR"/>
          </w:rPr>
          <w:t>cristina.tomulet@law.ubbcluj.ro</w:t>
        </w:r>
      </w:hyperlink>
      <w:r>
        <w:rPr>
          <w:rFonts w:ascii="Times New Roman" w:eastAsia="Times New Roman" w:hAnsi="Times New Roman" w:cs="Times New Roman"/>
          <w:lang w:val="fr-FR"/>
        </w:rPr>
        <w:t xml:space="preserve">). </w:t>
      </w:r>
    </w:p>
    <w:p w14:paraId="4AC57823" w14:textId="77777777" w:rsidR="00BE7D6A" w:rsidRPr="00BE7D6A" w:rsidRDefault="00BE7D6A" w:rsidP="00BE7D6A">
      <w:pPr>
        <w:spacing w:after="200" w:line="276" w:lineRule="auto"/>
        <w:rPr>
          <w:rFonts w:ascii="Calibri" w:eastAsia="Times New Roman" w:hAnsi="Calibri" w:cs="Arial"/>
          <w:sz w:val="22"/>
          <w:szCs w:val="22"/>
          <w:lang w:val="fr-FR"/>
        </w:rPr>
      </w:pPr>
    </w:p>
    <w:p w14:paraId="149EBA13" w14:textId="77777777" w:rsidR="00BE7D6A" w:rsidRPr="00BE7D6A" w:rsidRDefault="00BE7D6A" w:rsidP="00BE7D6A">
      <w:pPr>
        <w:spacing w:after="200" w:line="276" w:lineRule="auto"/>
        <w:rPr>
          <w:rFonts w:ascii="Calibri" w:eastAsia="Times New Roman" w:hAnsi="Calibri" w:cs="Arial"/>
          <w:sz w:val="22"/>
          <w:szCs w:val="22"/>
          <w:lang w:val="fr-FR"/>
        </w:rPr>
      </w:pPr>
    </w:p>
    <w:p w14:paraId="285518D6" w14:textId="77777777" w:rsidR="00BE7D6A" w:rsidRPr="00BE7D6A" w:rsidRDefault="00BE7D6A" w:rsidP="00BE7D6A">
      <w:pPr>
        <w:spacing w:after="200" w:line="276" w:lineRule="auto"/>
        <w:rPr>
          <w:rFonts w:ascii="Calibri" w:eastAsia="Times New Roman" w:hAnsi="Calibri" w:cs="Arial"/>
          <w:sz w:val="22"/>
          <w:szCs w:val="22"/>
          <w:lang w:val="fr-FR"/>
        </w:rPr>
      </w:pPr>
    </w:p>
    <w:p w14:paraId="63A68A7A" w14:textId="77777777" w:rsidR="00BE7D6A" w:rsidRPr="00BE7D6A" w:rsidRDefault="00BE7D6A" w:rsidP="00BE7D6A">
      <w:pPr>
        <w:spacing w:after="200" w:line="276" w:lineRule="auto"/>
        <w:rPr>
          <w:rFonts w:ascii="Calibri" w:eastAsia="Times New Roman" w:hAnsi="Calibri" w:cs="Arial"/>
          <w:sz w:val="22"/>
          <w:szCs w:val="22"/>
          <w:lang w:val="fr-FR"/>
        </w:rPr>
      </w:pPr>
    </w:p>
    <w:p w14:paraId="5EF2CD12" w14:textId="77777777" w:rsidR="004E2E24" w:rsidRDefault="004E2E24"/>
    <w:sectPr w:rsidR="004E2E24" w:rsidSect="0098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7D6"/>
    <w:multiLevelType w:val="hybridMultilevel"/>
    <w:tmpl w:val="25DA8EA6"/>
    <w:styleLink w:val="ImportedStyle10"/>
    <w:lvl w:ilvl="0" w:tplc="DFB0FA7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063A">
      <w:start w:val="1"/>
      <w:numFmt w:val="bullet"/>
      <w:lvlText w:val="−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04B7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EF63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B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921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C183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E381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A8F0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533B03"/>
    <w:multiLevelType w:val="hybridMultilevel"/>
    <w:tmpl w:val="20F84EFC"/>
    <w:styleLink w:val="ImportedStyle12"/>
    <w:lvl w:ilvl="0" w:tplc="8FD42822">
      <w:start w:val="1"/>
      <w:numFmt w:val="decimal"/>
      <w:lvlText w:val="%1."/>
      <w:lvlJc w:val="left"/>
      <w:pPr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CAD12">
      <w:start w:val="1"/>
      <w:numFmt w:val="lowerLetter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C740A">
      <w:start w:val="1"/>
      <w:numFmt w:val="lowerRoman"/>
      <w:lvlText w:val="%3."/>
      <w:lvlJc w:val="left"/>
      <w:pPr>
        <w:ind w:left="19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072D4">
      <w:start w:val="1"/>
      <w:numFmt w:val="decimal"/>
      <w:lvlText w:val="%4."/>
      <w:lvlJc w:val="left"/>
      <w:pPr>
        <w:ind w:left="2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6975C">
      <w:start w:val="1"/>
      <w:numFmt w:val="lowerLetter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4B72E">
      <w:start w:val="1"/>
      <w:numFmt w:val="lowerRoman"/>
      <w:lvlText w:val="%6."/>
      <w:lvlJc w:val="left"/>
      <w:pPr>
        <w:ind w:left="40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882AE">
      <w:start w:val="1"/>
      <w:numFmt w:val="decimal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6C8C2">
      <w:start w:val="1"/>
      <w:numFmt w:val="lowerLetter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4E500">
      <w:start w:val="1"/>
      <w:numFmt w:val="lowerRoman"/>
      <w:lvlText w:val="%9."/>
      <w:lvlJc w:val="left"/>
      <w:pPr>
        <w:ind w:left="62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682D3D"/>
    <w:multiLevelType w:val="hybridMultilevel"/>
    <w:tmpl w:val="D3B451DE"/>
    <w:numStyleLink w:val="Stilimportat14"/>
  </w:abstractNum>
  <w:abstractNum w:abstractNumId="3" w15:restartNumberingAfterBreak="0">
    <w:nsid w:val="7018263D"/>
    <w:multiLevelType w:val="hybridMultilevel"/>
    <w:tmpl w:val="25DA8EA6"/>
    <w:numStyleLink w:val="ImportedStyle10"/>
  </w:abstractNum>
  <w:abstractNum w:abstractNumId="4" w15:restartNumberingAfterBreak="0">
    <w:nsid w:val="77CC2451"/>
    <w:multiLevelType w:val="hybridMultilevel"/>
    <w:tmpl w:val="D3B451DE"/>
    <w:styleLink w:val="Stilimportat14"/>
    <w:lvl w:ilvl="0" w:tplc="330A931E">
      <w:start w:val="1"/>
      <w:numFmt w:val="decimal"/>
      <w:lvlText w:val="%1."/>
      <w:lvlJc w:val="left"/>
      <w:pPr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481E8C">
      <w:start w:val="1"/>
      <w:numFmt w:val="lowerLetter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54136E">
      <w:start w:val="1"/>
      <w:numFmt w:val="lowerRoman"/>
      <w:lvlText w:val="%3."/>
      <w:lvlJc w:val="left"/>
      <w:pPr>
        <w:tabs>
          <w:tab w:val="left" w:pos="1080"/>
        </w:tabs>
        <w:ind w:left="19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6A02D8">
      <w:start w:val="1"/>
      <w:numFmt w:val="decimal"/>
      <w:lvlText w:val="%4."/>
      <w:lvlJc w:val="left"/>
      <w:pPr>
        <w:tabs>
          <w:tab w:val="left" w:pos="1080"/>
        </w:tabs>
        <w:ind w:left="2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685CC8">
      <w:start w:val="1"/>
      <w:numFmt w:val="lowerLetter"/>
      <w:lvlText w:val="%5."/>
      <w:lvlJc w:val="left"/>
      <w:pPr>
        <w:tabs>
          <w:tab w:val="left" w:pos="1080"/>
        </w:tabs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0C5F8">
      <w:start w:val="1"/>
      <w:numFmt w:val="lowerRoman"/>
      <w:lvlText w:val="%6."/>
      <w:lvlJc w:val="left"/>
      <w:pPr>
        <w:tabs>
          <w:tab w:val="left" w:pos="1080"/>
        </w:tabs>
        <w:ind w:left="40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223DC">
      <w:start w:val="1"/>
      <w:numFmt w:val="decimal"/>
      <w:lvlText w:val="%7."/>
      <w:lvlJc w:val="left"/>
      <w:pPr>
        <w:tabs>
          <w:tab w:val="left" w:pos="1080"/>
        </w:tabs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B682A8">
      <w:start w:val="1"/>
      <w:numFmt w:val="lowerLetter"/>
      <w:lvlText w:val="%8."/>
      <w:lvlJc w:val="left"/>
      <w:pPr>
        <w:tabs>
          <w:tab w:val="left" w:pos="1080"/>
        </w:tabs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4A090">
      <w:start w:val="1"/>
      <w:numFmt w:val="lowerRoman"/>
      <w:lvlText w:val="%9."/>
      <w:lvlJc w:val="left"/>
      <w:pPr>
        <w:tabs>
          <w:tab w:val="left" w:pos="1080"/>
        </w:tabs>
        <w:ind w:left="62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0F4ADC"/>
    <w:multiLevelType w:val="hybridMultilevel"/>
    <w:tmpl w:val="DFD224BE"/>
    <w:lvl w:ilvl="0" w:tplc="9D2AD68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CAE922">
      <w:start w:val="2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105760"/>
    <w:multiLevelType w:val="hybridMultilevel"/>
    <w:tmpl w:val="20F84EFC"/>
    <w:numStyleLink w:val="ImportedStyle12"/>
  </w:abstractNum>
  <w:num w:numId="1" w16cid:durableId="119226741">
    <w:abstractNumId w:val="5"/>
  </w:num>
  <w:num w:numId="2" w16cid:durableId="1999310806">
    <w:abstractNumId w:val="4"/>
  </w:num>
  <w:num w:numId="3" w16cid:durableId="1161196610">
    <w:abstractNumId w:val="2"/>
  </w:num>
  <w:num w:numId="4" w16cid:durableId="156578369">
    <w:abstractNumId w:val="1"/>
  </w:num>
  <w:num w:numId="5" w16cid:durableId="524908902">
    <w:abstractNumId w:val="6"/>
  </w:num>
  <w:num w:numId="6" w16cid:durableId="1419525160">
    <w:abstractNumId w:val="0"/>
  </w:num>
  <w:num w:numId="7" w16cid:durableId="2097826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6D"/>
    <w:rsid w:val="004E2E24"/>
    <w:rsid w:val="00B17F6D"/>
    <w:rsid w:val="00B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7F07"/>
  <w15:chartTrackingRefBased/>
  <w15:docId w15:val="{F879D100-456D-42D0-9EAB-5E76025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importat14">
    <w:name w:val="Stil importat 14"/>
    <w:rsid w:val="00BE7D6A"/>
    <w:pPr>
      <w:numPr>
        <w:numId w:val="2"/>
      </w:numPr>
    </w:pPr>
  </w:style>
  <w:style w:type="numbering" w:customStyle="1" w:styleId="ImportedStyle12">
    <w:name w:val="Imported Style 12"/>
    <w:rsid w:val="00BE7D6A"/>
    <w:pPr>
      <w:numPr>
        <w:numId w:val="4"/>
      </w:numPr>
    </w:pPr>
  </w:style>
  <w:style w:type="numbering" w:customStyle="1" w:styleId="ImportedStyle10">
    <w:name w:val="Imported Style 10"/>
    <w:rsid w:val="00BE7D6A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BE7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a.tomulet@law.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Tomulet</dc:creator>
  <cp:keywords/>
  <dc:description/>
  <cp:lastModifiedBy>Cristina Tomulet</cp:lastModifiedBy>
  <cp:revision>2</cp:revision>
  <dcterms:created xsi:type="dcterms:W3CDTF">2022-11-14T11:05:00Z</dcterms:created>
  <dcterms:modified xsi:type="dcterms:W3CDTF">2022-11-14T11:10:00Z</dcterms:modified>
</cp:coreProperties>
</file>